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eastAsia="黑体"/>
          <w:sz w:val="28"/>
          <w:szCs w:val="28"/>
        </w:rPr>
      </w:pPr>
      <w:r>
        <w:rPr>
          <w:rFonts w:hint="eastAsia" w:ascii="黑体" w:eastAsia="黑体"/>
          <w:sz w:val="28"/>
          <w:szCs w:val="28"/>
        </w:rPr>
        <w:t xml:space="preserve">附表2                  </w:t>
      </w:r>
    </w:p>
    <w:p>
      <w:pPr>
        <w:spacing w:line="400" w:lineRule="exact"/>
        <w:ind w:firstLine="1960" w:firstLineChars="700"/>
        <w:rPr>
          <w:rFonts w:hint="eastAsia" w:ascii="黑体" w:eastAsia="黑体"/>
          <w:sz w:val="28"/>
          <w:szCs w:val="28"/>
        </w:rPr>
      </w:pPr>
      <w:r>
        <w:rPr>
          <w:rFonts w:hint="eastAsia" w:ascii="黑体" w:eastAsia="黑体"/>
          <w:sz w:val="28"/>
          <w:szCs w:val="28"/>
        </w:rPr>
        <w:t xml:space="preserve">                招聘计划表2</w:t>
      </w:r>
    </w:p>
    <w:tbl>
      <w:tblPr>
        <w:tblStyle w:val="4"/>
        <w:tblW w:w="9140" w:type="dxa"/>
        <w:tblInd w:w="-72" w:type="dxa"/>
        <w:tblLayout w:type="fixed"/>
        <w:tblCellMar>
          <w:top w:w="0" w:type="dxa"/>
          <w:left w:w="108" w:type="dxa"/>
          <w:bottom w:w="0" w:type="dxa"/>
          <w:right w:w="108" w:type="dxa"/>
        </w:tblCellMar>
      </w:tblPr>
      <w:tblGrid>
        <w:gridCol w:w="632"/>
        <w:gridCol w:w="1730"/>
        <w:gridCol w:w="635"/>
        <w:gridCol w:w="621"/>
        <w:gridCol w:w="645"/>
        <w:gridCol w:w="1997"/>
        <w:gridCol w:w="1491"/>
        <w:gridCol w:w="631"/>
        <w:gridCol w:w="319"/>
        <w:gridCol w:w="439"/>
      </w:tblGrid>
      <w:tr>
        <w:tblPrEx>
          <w:tblLayout w:type="fixed"/>
          <w:tblCellMar>
            <w:top w:w="0" w:type="dxa"/>
            <w:left w:w="108" w:type="dxa"/>
            <w:bottom w:w="0" w:type="dxa"/>
            <w:right w:w="108" w:type="dxa"/>
          </w:tblCellMar>
        </w:tblPrEx>
        <w:trPr>
          <w:trHeight w:val="1348" w:hRule="atLeast"/>
        </w:trPr>
        <w:tc>
          <w:tcPr>
            <w:tcW w:w="63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招聘</w:t>
            </w:r>
          </w:p>
          <w:p>
            <w:pPr>
              <w:widowControl/>
              <w:jc w:val="center"/>
              <w:rPr>
                <w:rFonts w:hint="eastAsia" w:ascii="宋体" w:hAnsi="宋体" w:cs="宋体"/>
                <w:kern w:val="0"/>
                <w:sz w:val="18"/>
                <w:szCs w:val="18"/>
              </w:rPr>
            </w:pPr>
            <w:r>
              <w:rPr>
                <w:rFonts w:hint="eastAsia" w:ascii="宋体" w:hAnsi="宋体" w:cs="宋体"/>
                <w:kern w:val="0"/>
                <w:sz w:val="18"/>
                <w:szCs w:val="18"/>
              </w:rPr>
              <w:t>单位</w:t>
            </w:r>
          </w:p>
        </w:tc>
        <w:tc>
          <w:tcPr>
            <w:tcW w:w="173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招聘</w:t>
            </w:r>
          </w:p>
          <w:p>
            <w:pPr>
              <w:widowControl/>
              <w:jc w:val="center"/>
              <w:rPr>
                <w:rFonts w:ascii="宋体" w:hAnsi="宋体" w:cs="宋体"/>
                <w:kern w:val="0"/>
                <w:sz w:val="18"/>
                <w:szCs w:val="18"/>
              </w:rPr>
            </w:pPr>
            <w:r>
              <w:rPr>
                <w:rFonts w:hint="eastAsia" w:ascii="宋体" w:hAnsi="宋体" w:cs="宋体"/>
                <w:kern w:val="0"/>
                <w:sz w:val="18"/>
                <w:szCs w:val="18"/>
              </w:rPr>
              <w:t>岗位</w:t>
            </w:r>
          </w:p>
        </w:tc>
        <w:tc>
          <w:tcPr>
            <w:tcW w:w="63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招聘   人数   </w:t>
            </w:r>
          </w:p>
        </w:tc>
        <w:tc>
          <w:tcPr>
            <w:tcW w:w="62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岗位  类别</w:t>
            </w:r>
          </w:p>
        </w:tc>
        <w:tc>
          <w:tcPr>
            <w:tcW w:w="6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聘用岗位等级</w:t>
            </w:r>
          </w:p>
        </w:tc>
        <w:tc>
          <w:tcPr>
            <w:tcW w:w="1997"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xml:space="preserve">学历及其他条件   </w:t>
            </w:r>
          </w:p>
        </w:tc>
        <w:tc>
          <w:tcPr>
            <w:tcW w:w="14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可报考专业</w:t>
            </w:r>
          </w:p>
        </w:tc>
        <w:tc>
          <w:tcPr>
            <w:tcW w:w="950"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招考对象（√）</w:t>
            </w:r>
          </w:p>
        </w:tc>
        <w:tc>
          <w:tcPr>
            <w:tcW w:w="439" w:type="dxa"/>
            <w:vMerge w:val="restart"/>
            <w:tcBorders>
              <w:top w:val="single" w:color="auto" w:sz="4" w:space="0"/>
              <w:left w:val="nil"/>
              <w:right w:val="single" w:color="auto" w:sz="4" w:space="0"/>
            </w:tcBorders>
            <w:shd w:val="clear" w:color="auto" w:fill="auto"/>
            <w:vAlign w:val="center"/>
          </w:tcPr>
          <w:p>
            <w:pPr>
              <w:widowControl/>
              <w:ind w:firstLine="90" w:firstLineChars="50"/>
              <w:rPr>
                <w:rFonts w:hint="eastAsia" w:ascii="宋体" w:hAnsi="宋体" w:cs="宋体"/>
                <w:kern w:val="0"/>
                <w:sz w:val="18"/>
                <w:szCs w:val="18"/>
              </w:rPr>
            </w:pPr>
            <w:r>
              <w:rPr>
                <w:rFonts w:hint="eastAsia" w:ascii="宋体" w:hAnsi="宋体" w:cs="宋体"/>
                <w:kern w:val="0"/>
                <w:sz w:val="18"/>
                <w:szCs w:val="18"/>
              </w:rPr>
              <w:t>岗</w:t>
            </w:r>
          </w:p>
          <w:p>
            <w:pPr>
              <w:widowControl/>
              <w:ind w:firstLine="90" w:firstLineChars="50"/>
              <w:rPr>
                <w:rFonts w:hint="eastAsia" w:ascii="宋体" w:hAnsi="宋体" w:cs="宋体"/>
                <w:kern w:val="0"/>
                <w:sz w:val="18"/>
                <w:szCs w:val="18"/>
              </w:rPr>
            </w:pPr>
            <w:r>
              <w:rPr>
                <w:rFonts w:hint="eastAsia" w:ascii="宋体" w:hAnsi="宋体" w:cs="宋体"/>
                <w:kern w:val="0"/>
                <w:sz w:val="18"/>
                <w:szCs w:val="18"/>
              </w:rPr>
              <w:t>位</w:t>
            </w:r>
          </w:p>
          <w:p>
            <w:pPr>
              <w:widowControl/>
              <w:ind w:firstLine="90" w:firstLineChars="50"/>
              <w:rPr>
                <w:rFonts w:hint="eastAsia" w:ascii="宋体" w:hAnsi="宋体" w:cs="宋体"/>
                <w:kern w:val="0"/>
                <w:sz w:val="18"/>
                <w:szCs w:val="18"/>
              </w:rPr>
            </w:pPr>
            <w:r>
              <w:rPr>
                <w:rFonts w:hint="eastAsia" w:ascii="宋体" w:hAnsi="宋体" w:cs="宋体"/>
                <w:kern w:val="0"/>
                <w:sz w:val="18"/>
                <w:szCs w:val="18"/>
              </w:rPr>
              <w:t>代</w:t>
            </w:r>
          </w:p>
          <w:p>
            <w:pPr>
              <w:widowControl/>
              <w:ind w:firstLine="90" w:firstLineChars="50"/>
              <w:rPr>
                <w:rFonts w:hint="eastAsia" w:ascii="宋体" w:hAnsi="宋体" w:cs="宋体"/>
                <w:kern w:val="0"/>
                <w:sz w:val="18"/>
                <w:szCs w:val="18"/>
              </w:rPr>
            </w:pPr>
            <w:r>
              <w:rPr>
                <w:rFonts w:hint="eastAsia" w:ascii="宋体" w:hAnsi="宋体" w:cs="宋体"/>
                <w:kern w:val="0"/>
                <w:sz w:val="18"/>
                <w:szCs w:val="18"/>
              </w:rPr>
              <w:t>码</w:t>
            </w:r>
          </w:p>
        </w:tc>
      </w:tr>
      <w:tr>
        <w:tblPrEx>
          <w:tblLayout w:type="fixed"/>
          <w:tblCellMar>
            <w:top w:w="0" w:type="dxa"/>
            <w:left w:w="108" w:type="dxa"/>
            <w:bottom w:w="0" w:type="dxa"/>
            <w:right w:w="108" w:type="dxa"/>
          </w:tblCellMar>
        </w:tblPrEx>
        <w:trPr>
          <w:trHeight w:val="2659" w:hRule="atLeast"/>
        </w:trPr>
        <w:tc>
          <w:tcPr>
            <w:tcW w:w="63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173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p>
        </w:tc>
        <w:tc>
          <w:tcPr>
            <w:tcW w:w="63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62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64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1997"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14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2016应届毕业生</w:t>
            </w:r>
          </w:p>
        </w:tc>
        <w:tc>
          <w:tcPr>
            <w:tcW w:w="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社会人员</w:t>
            </w:r>
          </w:p>
        </w:tc>
        <w:tc>
          <w:tcPr>
            <w:tcW w:w="43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053" w:hRule="atLeast"/>
        </w:trPr>
        <w:tc>
          <w:tcPr>
            <w:tcW w:w="632"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县人民医30名</w:t>
            </w:r>
          </w:p>
        </w:tc>
        <w:tc>
          <w:tcPr>
            <w:tcW w:w="1730"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before="100" w:beforeAutospacing="1" w:after="100" w:afterAutospacing="1" w:line="480" w:lineRule="auto"/>
              <w:jc w:val="center"/>
              <w:rPr>
                <w:rFonts w:hint="eastAsia" w:ascii="宋体" w:hAnsi="宋体" w:cs="宋体"/>
                <w:kern w:val="0"/>
                <w:sz w:val="18"/>
                <w:szCs w:val="18"/>
              </w:rPr>
            </w:pPr>
            <w:r>
              <w:rPr>
                <w:rFonts w:hint="eastAsia" w:ascii="宋体" w:hAnsi="宋体" w:cs="宋体"/>
                <w:kern w:val="0"/>
                <w:sz w:val="18"/>
                <w:szCs w:val="18"/>
              </w:rPr>
              <w:t>医学工程</w:t>
            </w:r>
          </w:p>
        </w:tc>
        <w:tc>
          <w:tcPr>
            <w:tcW w:w="635"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全日制普通高校本科及</w:t>
            </w:r>
          </w:p>
          <w:p>
            <w:pPr>
              <w:widowControl/>
              <w:spacing w:line="240" w:lineRule="exact"/>
              <w:rPr>
                <w:rFonts w:hint="eastAsia" w:ascii="宋体" w:hAnsi="宋体" w:cs="宋体"/>
                <w:kern w:val="0"/>
                <w:sz w:val="18"/>
                <w:szCs w:val="18"/>
              </w:rPr>
            </w:pPr>
            <w:r>
              <w:rPr>
                <w:rFonts w:hint="eastAsia" w:ascii="宋体" w:hAnsi="宋体" w:cs="宋体"/>
                <w:kern w:val="0"/>
                <w:sz w:val="18"/>
                <w:szCs w:val="18"/>
              </w:rPr>
              <w:t>以上毕业生或具备助理工程师的国家承认本科学历毕业生</w:t>
            </w:r>
          </w:p>
        </w:tc>
        <w:tc>
          <w:tcPr>
            <w:tcW w:w="1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生物医学工程、电子信息工程</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31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A14</w:t>
            </w:r>
          </w:p>
        </w:tc>
      </w:tr>
      <w:tr>
        <w:tblPrEx>
          <w:tblLayout w:type="fixed"/>
          <w:tblCellMar>
            <w:top w:w="0" w:type="dxa"/>
            <w:left w:w="108" w:type="dxa"/>
            <w:bottom w:w="0" w:type="dxa"/>
            <w:right w:w="108" w:type="dxa"/>
          </w:tblCellMar>
        </w:tblPrEx>
        <w:trPr>
          <w:trHeight w:val="1483"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中医</w:t>
            </w:r>
          </w:p>
        </w:tc>
        <w:tc>
          <w:tcPr>
            <w:tcW w:w="635" w:type="dxa"/>
            <w:tcBorders>
              <w:top w:val="nil"/>
              <w:left w:val="nil"/>
              <w:bottom w:val="single" w:color="auto" w:sz="4" w:space="0"/>
              <w:right w:val="single" w:color="auto" w:sz="4" w:space="0"/>
            </w:tcBorders>
            <w:shd w:val="clear" w:color="auto" w:fill="auto"/>
            <w:vAlign w:val="center"/>
          </w:tcPr>
          <w:p>
            <w:pPr>
              <w:ind w:firstLine="180" w:firstLineChars="100"/>
              <w:rPr>
                <w:rFonts w:hint="eastAsia" w:ascii="宋体" w:hAnsi="宋体" w:cs="宋体"/>
                <w:kern w:val="0"/>
                <w:sz w:val="18"/>
                <w:szCs w:val="18"/>
              </w:rPr>
            </w:pPr>
            <w:r>
              <w:rPr>
                <w:rFonts w:hint="eastAsia" w:ascii="宋体" w:hAnsi="宋体" w:cs="宋体"/>
                <w:kern w:val="0"/>
                <w:sz w:val="18"/>
                <w:szCs w:val="18"/>
              </w:rPr>
              <w:t>3</w:t>
            </w:r>
          </w:p>
        </w:tc>
        <w:tc>
          <w:tcPr>
            <w:tcW w:w="62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restart"/>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日制普通高校本科及以上毕业生或具备执业（中）医师证、其他对应专业师级资格证的国家承认本科学历毕业生或具备对应专业中级资格证书的国家承认专科学历毕业生（非全日制学历毕业生报考岗位与执业注册范围需一致）</w:t>
            </w:r>
          </w:p>
        </w:tc>
        <w:tc>
          <w:tcPr>
            <w:tcW w:w="149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中医学类、中西医结合类</w:t>
            </w:r>
          </w:p>
        </w:tc>
        <w:tc>
          <w:tcPr>
            <w:tcW w:w="6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3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A15</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麻醉</w:t>
            </w:r>
          </w:p>
        </w:tc>
        <w:tc>
          <w:tcPr>
            <w:tcW w:w="635" w:type="dxa"/>
            <w:tcBorders>
              <w:top w:val="nil"/>
              <w:left w:val="nil"/>
              <w:bottom w:val="single" w:color="auto" w:sz="4" w:space="0"/>
              <w:right w:val="single" w:color="auto" w:sz="4" w:space="0"/>
            </w:tcBorders>
            <w:shd w:val="clear" w:color="auto" w:fill="auto"/>
            <w:vAlign w:val="center"/>
          </w:tcPr>
          <w:p>
            <w:pPr>
              <w:ind w:firstLine="180" w:firstLineChars="100"/>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麻醉学、临床医学</w:t>
            </w:r>
          </w:p>
        </w:tc>
        <w:tc>
          <w:tcPr>
            <w:tcW w:w="6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3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A16</w:t>
            </w:r>
          </w:p>
        </w:tc>
      </w:tr>
      <w:tr>
        <w:tblPrEx>
          <w:tblLayout w:type="fixed"/>
          <w:tblCellMar>
            <w:top w:w="0" w:type="dxa"/>
            <w:left w:w="108" w:type="dxa"/>
            <w:bottom w:w="0" w:type="dxa"/>
            <w:right w:w="108" w:type="dxa"/>
          </w:tblCellMar>
        </w:tblPrEx>
        <w:trPr>
          <w:trHeight w:val="2194"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检验科</w:t>
            </w:r>
          </w:p>
        </w:tc>
        <w:tc>
          <w:tcPr>
            <w:tcW w:w="63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2</w:t>
            </w:r>
          </w:p>
        </w:tc>
        <w:tc>
          <w:tcPr>
            <w:tcW w:w="62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医学检验技术、医学检验</w:t>
            </w:r>
          </w:p>
        </w:tc>
        <w:tc>
          <w:tcPr>
            <w:tcW w:w="6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3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A17</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临床</w:t>
            </w:r>
          </w:p>
        </w:tc>
        <w:tc>
          <w:tcPr>
            <w:tcW w:w="635" w:type="dxa"/>
            <w:tcBorders>
              <w:top w:val="nil"/>
              <w:left w:val="nil"/>
              <w:bottom w:val="single" w:color="auto" w:sz="4" w:space="0"/>
              <w:right w:val="single" w:color="auto" w:sz="4" w:space="0"/>
            </w:tcBorders>
            <w:shd w:val="clear" w:color="auto" w:fill="auto"/>
            <w:vAlign w:val="center"/>
          </w:tcPr>
          <w:p>
            <w:pPr>
              <w:ind w:firstLine="180" w:firstLineChars="100"/>
              <w:rPr>
                <w:rFonts w:hint="eastAsia" w:ascii="宋体" w:hAnsi="宋体" w:cs="宋体"/>
                <w:kern w:val="0"/>
                <w:sz w:val="18"/>
                <w:szCs w:val="18"/>
              </w:rPr>
            </w:pPr>
            <w:r>
              <w:rPr>
                <w:rFonts w:hint="eastAsia" w:ascii="宋体" w:hAnsi="宋体" w:cs="宋体"/>
                <w:kern w:val="0"/>
                <w:sz w:val="18"/>
                <w:szCs w:val="18"/>
              </w:rPr>
              <w:t>8</w:t>
            </w:r>
          </w:p>
        </w:tc>
        <w:tc>
          <w:tcPr>
            <w:tcW w:w="62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日制普通高校本科及以上历届毕业生或具备执业护士证、执业医师证、其他对应专业师级资格证书的国家承认本科学历毕业生或具备对应专业中级资格证书的国家承认专科学历毕业生（非全日制学历毕业生报考岗位与执业注册范围需一致）</w:t>
            </w:r>
          </w:p>
        </w:tc>
        <w:tc>
          <w:tcPr>
            <w:tcW w:w="149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临床医学</w:t>
            </w:r>
          </w:p>
        </w:tc>
        <w:tc>
          <w:tcPr>
            <w:tcW w:w="6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A18</w:t>
            </w:r>
          </w:p>
        </w:tc>
      </w:tr>
      <w:tr>
        <w:tblPrEx>
          <w:tblLayout w:type="fixed"/>
          <w:tblCellMar>
            <w:top w:w="0" w:type="dxa"/>
            <w:left w:w="108" w:type="dxa"/>
            <w:bottom w:w="0" w:type="dxa"/>
            <w:right w:w="108" w:type="dxa"/>
          </w:tblCellMar>
        </w:tblPrEx>
        <w:trPr>
          <w:trHeight w:val="155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放射科（技术）</w:t>
            </w:r>
          </w:p>
        </w:tc>
        <w:tc>
          <w:tcPr>
            <w:tcW w:w="6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临床医学、医学影像学、医学影像技术</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A19</w:t>
            </w:r>
          </w:p>
        </w:tc>
      </w:tr>
      <w:tr>
        <w:tblPrEx>
          <w:tblLayout w:type="fixed"/>
          <w:tblCellMar>
            <w:top w:w="0" w:type="dxa"/>
            <w:left w:w="108" w:type="dxa"/>
            <w:bottom w:w="0" w:type="dxa"/>
            <w:right w:w="108" w:type="dxa"/>
          </w:tblCellMar>
        </w:tblPrEx>
        <w:trPr>
          <w:trHeight w:val="155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病理科（技术）</w:t>
            </w:r>
          </w:p>
        </w:tc>
        <w:tc>
          <w:tcPr>
            <w:tcW w:w="6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临床医学、医学检验、医学检验技术、生物技术</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A20</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医学影像（超声）</w:t>
            </w:r>
          </w:p>
        </w:tc>
        <w:tc>
          <w:tcPr>
            <w:tcW w:w="635" w:type="dxa"/>
            <w:tcBorders>
              <w:top w:val="single" w:color="auto" w:sz="4" w:space="0"/>
              <w:left w:val="nil"/>
              <w:bottom w:val="single" w:color="auto" w:sz="4" w:space="0"/>
              <w:right w:val="single" w:color="auto" w:sz="4" w:space="0"/>
            </w:tcBorders>
            <w:shd w:val="clear" w:color="auto" w:fill="auto"/>
            <w:vAlign w:val="center"/>
          </w:tcPr>
          <w:p>
            <w:pPr>
              <w:ind w:firstLine="180" w:firstLineChars="100"/>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临床医学、医学影像学</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kern w:val="0"/>
                <w:sz w:val="18"/>
                <w:szCs w:val="18"/>
              </w:rPr>
            </w:pPr>
            <w:r>
              <w:rPr>
                <w:rFonts w:hint="eastAsia" w:ascii="宋体" w:hAnsi="宋体"/>
                <w:kern w:val="0"/>
                <w:sz w:val="18"/>
                <w:szCs w:val="18"/>
              </w:rPr>
              <w:t>A21</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药学</w:t>
            </w:r>
          </w:p>
        </w:tc>
        <w:tc>
          <w:tcPr>
            <w:tcW w:w="635" w:type="dxa"/>
            <w:tcBorders>
              <w:top w:val="single" w:color="auto" w:sz="4" w:space="0"/>
              <w:left w:val="nil"/>
              <w:bottom w:val="single" w:color="auto" w:sz="4" w:space="0"/>
              <w:right w:val="single" w:color="auto" w:sz="4" w:space="0"/>
            </w:tcBorders>
            <w:shd w:val="clear" w:color="auto" w:fill="auto"/>
            <w:vAlign w:val="center"/>
          </w:tcPr>
          <w:p>
            <w:pPr>
              <w:ind w:firstLine="180" w:firstLineChars="100"/>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药学</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A22</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护理</w:t>
            </w:r>
          </w:p>
        </w:tc>
        <w:tc>
          <w:tcPr>
            <w:tcW w:w="6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11</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护理学</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kern w:val="0"/>
                <w:sz w:val="18"/>
                <w:szCs w:val="18"/>
              </w:rPr>
            </w:pPr>
            <w:r>
              <w:rPr>
                <w:rFonts w:hint="eastAsia" w:ascii="宋体" w:hAnsi="宋体"/>
                <w:kern w:val="0"/>
                <w:sz w:val="18"/>
                <w:szCs w:val="18"/>
              </w:rPr>
              <w:t>A23</w:t>
            </w:r>
          </w:p>
        </w:tc>
      </w:tr>
      <w:tr>
        <w:tblPrEx>
          <w:tblLayout w:type="fixed"/>
          <w:tblCellMar>
            <w:top w:w="0" w:type="dxa"/>
            <w:left w:w="108" w:type="dxa"/>
            <w:bottom w:w="0" w:type="dxa"/>
            <w:right w:w="108" w:type="dxa"/>
          </w:tblCellMar>
        </w:tblPrEx>
        <w:trPr>
          <w:trHeight w:val="1140" w:hRule="atLeast"/>
        </w:trPr>
        <w:tc>
          <w:tcPr>
            <w:tcW w:w="6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县中医院</w:t>
            </w:r>
          </w:p>
          <w:p>
            <w:pPr>
              <w:jc w:val="center"/>
              <w:rPr>
                <w:rFonts w:hint="eastAsia" w:ascii="宋体" w:hAnsi="宋体" w:cs="宋体"/>
                <w:kern w:val="0"/>
                <w:sz w:val="18"/>
                <w:szCs w:val="18"/>
              </w:rPr>
            </w:pPr>
            <w:r>
              <w:rPr>
                <w:rFonts w:hint="eastAsia" w:ascii="宋体" w:hAnsi="宋体" w:cs="宋体"/>
                <w:kern w:val="0"/>
                <w:sz w:val="18"/>
                <w:szCs w:val="18"/>
              </w:rPr>
              <w:t>19名</w:t>
            </w: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心电图诊断</w:t>
            </w:r>
          </w:p>
        </w:tc>
        <w:tc>
          <w:tcPr>
            <w:tcW w:w="6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2</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全日制普通高校本科及以上毕业生或具备执业护士证、执业医师证的国家承认本科学历毕业生或具备对应专业中级资格证书的国家承认专科学历毕业生（非全日制学历毕业生报考岗位与执业注册范围需一致）</w:t>
            </w: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临床医学、医学影像学</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A24</w:t>
            </w:r>
          </w:p>
        </w:tc>
      </w:tr>
      <w:tr>
        <w:tblPrEx>
          <w:tblLayout w:type="fixed"/>
          <w:tblCellMar>
            <w:top w:w="0" w:type="dxa"/>
            <w:left w:w="108" w:type="dxa"/>
            <w:bottom w:w="0" w:type="dxa"/>
            <w:right w:w="108" w:type="dxa"/>
          </w:tblCellMar>
        </w:tblPrEx>
        <w:trPr>
          <w:trHeight w:val="3544" w:hRule="atLeast"/>
        </w:trPr>
        <w:tc>
          <w:tcPr>
            <w:tcW w:w="6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护理</w:t>
            </w:r>
          </w:p>
        </w:tc>
        <w:tc>
          <w:tcPr>
            <w:tcW w:w="6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5</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护理学</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A25</w:t>
            </w:r>
          </w:p>
        </w:tc>
      </w:tr>
      <w:tr>
        <w:tblPrEx>
          <w:tblLayout w:type="fixed"/>
          <w:tblCellMar>
            <w:top w:w="0" w:type="dxa"/>
            <w:left w:w="108" w:type="dxa"/>
            <w:bottom w:w="0" w:type="dxa"/>
            <w:right w:w="108" w:type="dxa"/>
          </w:tblCellMar>
        </w:tblPrEx>
        <w:trPr>
          <w:trHeight w:val="1625" w:hRule="atLeast"/>
        </w:trPr>
        <w:tc>
          <w:tcPr>
            <w:tcW w:w="63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中医临床（急诊/内科/儿科/骨伤科）</w:t>
            </w:r>
          </w:p>
        </w:tc>
        <w:tc>
          <w:tcPr>
            <w:tcW w:w="63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5</w:t>
            </w:r>
          </w:p>
        </w:tc>
        <w:tc>
          <w:tcPr>
            <w:tcW w:w="62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p>
            <w:pPr>
              <w:widowControl/>
              <w:spacing w:line="240" w:lineRule="exact"/>
              <w:jc w:val="center"/>
              <w:rPr>
                <w:rFonts w:hint="eastAsia" w:ascii="宋体" w:hAnsi="宋体" w:cs="宋体"/>
                <w:kern w:val="0"/>
                <w:sz w:val="18"/>
                <w:szCs w:val="18"/>
              </w:rPr>
            </w:pP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日制普通高校本科及以上历届毕业生或具备执业（中）医师证、其他对应专业师级资格证书的国家承认本科学历毕业生或具备对应专业中级资格证书的国家承认专科学历毕业生（非全日制学历毕业生报考岗位与执业注册范围需一致）</w:t>
            </w:r>
          </w:p>
          <w:p>
            <w:pPr>
              <w:widowControl/>
              <w:spacing w:line="240" w:lineRule="exact"/>
              <w:jc w:val="center"/>
              <w:rPr>
                <w:rFonts w:hint="eastAsia" w:ascii="宋体" w:hAnsi="宋体" w:cs="宋体"/>
                <w:kern w:val="0"/>
                <w:sz w:val="18"/>
                <w:szCs w:val="18"/>
              </w:rPr>
            </w:pPr>
          </w:p>
        </w:tc>
        <w:tc>
          <w:tcPr>
            <w:tcW w:w="149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中医学类、中西医结合类</w:t>
            </w:r>
          </w:p>
        </w:tc>
        <w:tc>
          <w:tcPr>
            <w:tcW w:w="63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A26</w:t>
            </w:r>
          </w:p>
        </w:tc>
      </w:tr>
      <w:tr>
        <w:tblPrEx>
          <w:tblLayout w:type="fixed"/>
          <w:tblCellMar>
            <w:top w:w="0" w:type="dxa"/>
            <w:left w:w="108" w:type="dxa"/>
            <w:bottom w:w="0" w:type="dxa"/>
            <w:right w:w="108" w:type="dxa"/>
          </w:tblCellMar>
        </w:tblPrEx>
        <w:trPr>
          <w:trHeight w:val="1348" w:hRule="atLeast"/>
        </w:trPr>
        <w:tc>
          <w:tcPr>
            <w:tcW w:w="63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西医临床（外科/骨科/内科）</w:t>
            </w:r>
          </w:p>
        </w:tc>
        <w:tc>
          <w:tcPr>
            <w:tcW w:w="635" w:type="dxa"/>
            <w:tcBorders>
              <w:top w:val="nil"/>
              <w:left w:val="nil"/>
              <w:bottom w:val="single" w:color="auto" w:sz="4" w:space="0"/>
              <w:right w:val="single" w:color="auto" w:sz="4" w:space="0"/>
            </w:tcBorders>
            <w:shd w:val="clear" w:color="auto" w:fill="auto"/>
            <w:vAlign w:val="center"/>
          </w:tcPr>
          <w:p>
            <w:pPr>
              <w:ind w:firstLine="180" w:firstLineChars="100"/>
              <w:rPr>
                <w:rFonts w:hint="eastAsia" w:ascii="宋体" w:hAnsi="宋体" w:cs="宋体"/>
                <w:kern w:val="0"/>
                <w:sz w:val="18"/>
                <w:szCs w:val="18"/>
              </w:rPr>
            </w:pPr>
            <w:r>
              <w:rPr>
                <w:rFonts w:hint="eastAsia" w:ascii="宋体" w:hAnsi="宋体" w:cs="宋体"/>
                <w:kern w:val="0"/>
                <w:sz w:val="18"/>
                <w:szCs w:val="18"/>
              </w:rPr>
              <w:t>3</w:t>
            </w:r>
          </w:p>
        </w:tc>
        <w:tc>
          <w:tcPr>
            <w:tcW w:w="62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w:t>
            </w:r>
          </w:p>
        </w:tc>
        <w:tc>
          <w:tcPr>
            <w:tcW w:w="63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A27</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口腔</w:t>
            </w:r>
          </w:p>
        </w:tc>
        <w:tc>
          <w:tcPr>
            <w:tcW w:w="635" w:type="dxa"/>
            <w:tcBorders>
              <w:top w:val="single" w:color="auto" w:sz="4" w:space="0"/>
              <w:left w:val="nil"/>
              <w:bottom w:val="single" w:color="auto" w:sz="4" w:space="0"/>
              <w:right w:val="single" w:color="auto" w:sz="4" w:space="0"/>
            </w:tcBorders>
            <w:shd w:val="clear" w:color="auto" w:fill="auto"/>
            <w:vAlign w:val="center"/>
          </w:tcPr>
          <w:p>
            <w:pPr>
              <w:ind w:firstLine="180" w:firstLineChars="100"/>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口腔医学</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kern w:val="0"/>
                <w:sz w:val="18"/>
                <w:szCs w:val="18"/>
              </w:rPr>
            </w:pPr>
            <w:r>
              <w:rPr>
                <w:rFonts w:hint="eastAsia" w:ascii="宋体" w:hAnsi="宋体"/>
                <w:kern w:val="0"/>
                <w:sz w:val="18"/>
                <w:szCs w:val="18"/>
              </w:rPr>
              <w:t>A28</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超声诊断</w:t>
            </w:r>
          </w:p>
        </w:tc>
        <w:tc>
          <w:tcPr>
            <w:tcW w:w="6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临床医学、医学影像学</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kern w:val="0"/>
                <w:sz w:val="18"/>
                <w:szCs w:val="18"/>
              </w:rPr>
            </w:pPr>
            <w:r>
              <w:rPr>
                <w:rFonts w:hint="eastAsia" w:ascii="宋体" w:hAnsi="宋体"/>
                <w:kern w:val="0"/>
                <w:sz w:val="18"/>
                <w:szCs w:val="18"/>
              </w:rPr>
              <w:t>A29</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放射诊断</w:t>
            </w:r>
          </w:p>
        </w:tc>
        <w:tc>
          <w:tcPr>
            <w:tcW w:w="6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临床医学、医学影像学</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kern w:val="0"/>
                <w:sz w:val="18"/>
                <w:szCs w:val="18"/>
              </w:rPr>
            </w:pPr>
            <w:r>
              <w:rPr>
                <w:rFonts w:hint="eastAsia" w:ascii="宋体" w:hAnsi="宋体"/>
                <w:kern w:val="0"/>
                <w:sz w:val="18"/>
                <w:szCs w:val="18"/>
              </w:rPr>
              <w:t>A30</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药学</w:t>
            </w:r>
          </w:p>
        </w:tc>
        <w:tc>
          <w:tcPr>
            <w:tcW w:w="635" w:type="dxa"/>
            <w:tcBorders>
              <w:top w:val="single" w:color="auto" w:sz="4" w:space="0"/>
              <w:left w:val="nil"/>
              <w:bottom w:val="single" w:color="auto" w:sz="4" w:space="0"/>
              <w:right w:val="single" w:color="auto" w:sz="4" w:space="0"/>
            </w:tcBorders>
            <w:shd w:val="clear" w:color="auto" w:fill="auto"/>
            <w:vAlign w:val="center"/>
          </w:tcPr>
          <w:p>
            <w:pPr>
              <w:ind w:firstLine="180" w:firstLineChars="100"/>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药学</w:t>
            </w:r>
          </w:p>
        </w:tc>
        <w:tc>
          <w:tcPr>
            <w:tcW w:w="63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kern w:val="0"/>
                <w:sz w:val="18"/>
                <w:szCs w:val="18"/>
              </w:rPr>
            </w:pPr>
            <w:r>
              <w:rPr>
                <w:rFonts w:hint="eastAsia" w:ascii="宋体" w:hAnsi="宋体"/>
                <w:kern w:val="0"/>
                <w:sz w:val="18"/>
                <w:szCs w:val="18"/>
              </w:rPr>
              <w:t>A31</w:t>
            </w:r>
          </w:p>
        </w:tc>
      </w:tr>
      <w:tr>
        <w:tblPrEx>
          <w:tblLayout w:type="fixed"/>
          <w:tblCellMar>
            <w:top w:w="0" w:type="dxa"/>
            <w:left w:w="108" w:type="dxa"/>
            <w:bottom w:w="0" w:type="dxa"/>
            <w:right w:w="108" w:type="dxa"/>
          </w:tblCellMar>
        </w:tblPrEx>
        <w:trPr>
          <w:trHeight w:val="4069" w:hRule="atLeast"/>
        </w:trPr>
        <w:tc>
          <w:tcPr>
            <w:tcW w:w="632" w:type="dxa"/>
            <w:vMerge w:val="restart"/>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p>
            <w:pPr>
              <w:jc w:val="center"/>
              <w:rPr>
                <w:rFonts w:hint="eastAsia" w:ascii="宋体" w:hAnsi="宋体" w:cs="宋体"/>
                <w:kern w:val="0"/>
                <w:sz w:val="18"/>
                <w:szCs w:val="18"/>
              </w:rPr>
            </w:pPr>
          </w:p>
          <w:p>
            <w:pPr>
              <w:jc w:val="center"/>
              <w:rPr>
                <w:rFonts w:hint="eastAsia" w:ascii="宋体" w:hAnsi="宋体" w:cs="宋体"/>
                <w:kern w:val="0"/>
                <w:sz w:val="18"/>
                <w:szCs w:val="18"/>
              </w:rPr>
            </w:pPr>
          </w:p>
          <w:p>
            <w:pPr>
              <w:jc w:val="center"/>
              <w:rPr>
                <w:rFonts w:hint="eastAsia" w:ascii="宋体" w:hAnsi="宋体" w:cs="宋体"/>
                <w:kern w:val="0"/>
                <w:sz w:val="18"/>
                <w:szCs w:val="18"/>
              </w:rPr>
            </w:pPr>
          </w:p>
          <w:p>
            <w:pPr>
              <w:jc w:val="center"/>
              <w:rPr>
                <w:rFonts w:hint="eastAsia" w:ascii="宋体" w:hAnsi="宋体" w:cs="宋体"/>
                <w:kern w:val="0"/>
                <w:sz w:val="18"/>
                <w:szCs w:val="18"/>
              </w:rPr>
            </w:pPr>
          </w:p>
          <w:p>
            <w:pPr>
              <w:jc w:val="center"/>
              <w:rPr>
                <w:rFonts w:hint="eastAsia" w:ascii="宋体" w:hAnsi="宋体" w:cs="宋体"/>
                <w:kern w:val="0"/>
                <w:sz w:val="18"/>
                <w:szCs w:val="18"/>
              </w:rPr>
            </w:pPr>
            <w:r>
              <w:rPr>
                <w:rFonts w:hint="eastAsia" w:ascii="宋体" w:hAnsi="宋体" w:cs="宋体"/>
                <w:kern w:val="0"/>
                <w:sz w:val="18"/>
                <w:szCs w:val="18"/>
              </w:rPr>
              <w:t>县妇保院</w:t>
            </w:r>
          </w:p>
          <w:p>
            <w:pPr>
              <w:jc w:val="center"/>
              <w:rPr>
                <w:rFonts w:hint="eastAsia" w:ascii="宋体" w:hAnsi="宋体" w:cs="宋体"/>
                <w:kern w:val="0"/>
                <w:sz w:val="18"/>
                <w:szCs w:val="18"/>
              </w:rPr>
            </w:pPr>
            <w:r>
              <w:rPr>
                <w:rFonts w:hint="eastAsia" w:ascii="宋体" w:hAnsi="宋体" w:cs="宋体"/>
                <w:kern w:val="0"/>
                <w:sz w:val="18"/>
                <w:szCs w:val="18"/>
              </w:rPr>
              <w:t>18名</w:t>
            </w: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中医（妇科、儿科）</w:t>
            </w:r>
          </w:p>
        </w:tc>
        <w:tc>
          <w:tcPr>
            <w:tcW w:w="6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全日制普通高校本科及以上毕业生或具备执业中医师证书的国家承认本科学历毕业生或具备对应专业中级资格证书的国家承认专科学历毕业生（非全日制学历毕业生报考岗位与执业注册范围需一致）</w:t>
            </w: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中医学</w:t>
            </w:r>
          </w:p>
        </w:tc>
        <w:tc>
          <w:tcPr>
            <w:tcW w:w="631"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cs="宋体"/>
                <w:kern w:val="0"/>
                <w:sz w:val="18"/>
                <w:szCs w:val="18"/>
              </w:rPr>
            </w:pPr>
          </w:p>
          <w:p>
            <w:pPr>
              <w:widowControl/>
              <w:ind w:firstLine="180" w:firstLineChars="100"/>
              <w:rPr>
                <w:rFonts w:hint="eastAsia" w:ascii="宋体" w:hAnsi="宋体" w:cs="宋体"/>
                <w:kern w:val="0"/>
                <w:sz w:val="18"/>
                <w:szCs w:val="18"/>
              </w:rPr>
            </w:pPr>
            <w:r>
              <w:rPr>
                <w:rFonts w:hint="eastAsia" w:ascii="宋体" w:hAnsi="宋体" w:cs="宋体"/>
                <w:kern w:val="0"/>
                <w:sz w:val="18"/>
                <w:szCs w:val="18"/>
              </w:rPr>
              <w:t>√</w:t>
            </w:r>
          </w:p>
        </w:tc>
        <w:tc>
          <w:tcPr>
            <w:tcW w:w="319" w:type="dxa"/>
            <w:tcBorders>
              <w:top w:val="single" w:color="auto" w:sz="4" w:space="0"/>
              <w:left w:val="nil"/>
              <w:bottom w:val="single" w:color="auto" w:sz="4" w:space="0"/>
              <w:right w:val="single" w:color="auto" w:sz="4" w:space="0"/>
            </w:tcBorders>
            <w:shd w:val="clear" w:color="auto" w:fill="auto"/>
            <w:vAlign w:val="top"/>
          </w:tcPr>
          <w:p>
            <w:pPr>
              <w:rPr>
                <w:rFonts w:hint="eastAsia" w:ascii="宋体" w:hAnsi="宋体" w:cs="宋体"/>
                <w:kern w:val="0"/>
                <w:sz w:val="18"/>
                <w:szCs w:val="18"/>
              </w:rPr>
            </w:pPr>
          </w:p>
          <w:p>
            <w:pPr>
              <w:rPr>
                <w:rFonts w:hint="eastAsia" w:ascii="宋体" w:hAnsi="宋体" w:cs="宋体"/>
                <w:kern w:val="0"/>
                <w:sz w:val="18"/>
                <w:szCs w:val="18"/>
              </w:rPr>
            </w:pPr>
          </w:p>
          <w:p>
            <w:pPr>
              <w:rPr>
                <w:rFonts w:hint="eastAsia" w:ascii="宋体" w:hAnsi="宋体" w:cs="宋体"/>
                <w:kern w:val="0"/>
                <w:sz w:val="18"/>
                <w:szCs w:val="18"/>
              </w:rPr>
            </w:pPr>
          </w:p>
          <w:p>
            <w:pP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top"/>
          </w:tcPr>
          <w:p>
            <w:pPr>
              <w:rPr>
                <w:rFonts w:hint="eastAsia" w:ascii="宋体" w:hAnsi="宋体"/>
                <w:kern w:val="0"/>
                <w:sz w:val="18"/>
                <w:szCs w:val="18"/>
              </w:rPr>
            </w:pPr>
          </w:p>
          <w:p>
            <w:pPr>
              <w:rPr>
                <w:rFonts w:hint="eastAsia" w:ascii="宋体" w:hAnsi="宋体"/>
                <w:kern w:val="0"/>
                <w:sz w:val="18"/>
                <w:szCs w:val="18"/>
              </w:rPr>
            </w:pPr>
          </w:p>
          <w:p>
            <w:pPr>
              <w:rPr>
                <w:rFonts w:hint="eastAsia" w:ascii="宋体" w:hAnsi="宋体"/>
                <w:kern w:val="0"/>
                <w:sz w:val="18"/>
                <w:szCs w:val="18"/>
              </w:rPr>
            </w:pPr>
          </w:p>
          <w:p>
            <w:pPr/>
            <w:r>
              <w:rPr>
                <w:rFonts w:hint="eastAsia" w:ascii="宋体" w:hAnsi="宋体"/>
                <w:kern w:val="0"/>
                <w:sz w:val="18"/>
                <w:szCs w:val="18"/>
              </w:rPr>
              <w:t>A32</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妇产科</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日制普通高校本科及以上历届毕业生或具备执业护士证、执业（中）医师证、其他对应专业师级资格证书的国家承认本科学历毕业生或具备对应专业中级资格证书的国家承认专科学历毕业生（非全日制学历毕业生报考岗位与执业注册范围需一致）</w:t>
            </w:r>
          </w:p>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w:t>
            </w:r>
          </w:p>
        </w:tc>
        <w:tc>
          <w:tcPr>
            <w:tcW w:w="6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top"/>
          </w:tcPr>
          <w:p>
            <w:pPr/>
            <w:r>
              <w:rPr>
                <w:rFonts w:hint="eastAsia" w:ascii="宋体" w:hAnsi="宋体"/>
                <w:kern w:val="0"/>
                <w:sz w:val="18"/>
                <w:szCs w:val="18"/>
              </w:rPr>
              <w:t>A33</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儿科</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A34</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医学影像（超声）</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临床医学、医学影像学</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A35</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医学影像（心电）</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A36</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医学检验</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医学检验</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A37</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麻醉</w:t>
            </w:r>
          </w:p>
        </w:tc>
        <w:tc>
          <w:tcPr>
            <w:tcW w:w="635" w:type="dxa"/>
            <w:tcBorders>
              <w:top w:val="nil"/>
              <w:left w:val="nil"/>
              <w:bottom w:val="single" w:color="auto" w:sz="4" w:space="0"/>
              <w:right w:val="single" w:color="auto" w:sz="4" w:space="0"/>
            </w:tcBorders>
            <w:shd w:val="clear" w:color="auto" w:fill="auto"/>
            <w:vAlign w:val="center"/>
          </w:tcPr>
          <w:p>
            <w:pPr>
              <w:widowControl/>
              <w:ind w:firstLine="180" w:firstLineChars="100"/>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临床医学、麻醉学</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top"/>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A38</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口腔</w:t>
            </w:r>
          </w:p>
        </w:tc>
        <w:tc>
          <w:tcPr>
            <w:tcW w:w="6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top w:val="single" w:color="auto" w:sz="4" w:space="0"/>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口腔医学</w:t>
            </w:r>
          </w:p>
        </w:tc>
        <w:tc>
          <w:tcPr>
            <w:tcW w:w="6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single" w:color="auto" w:sz="4" w:space="0"/>
              <w:left w:val="nil"/>
              <w:bottom w:val="single" w:color="auto" w:sz="4" w:space="0"/>
              <w:right w:val="single" w:color="auto" w:sz="4" w:space="0"/>
            </w:tcBorders>
            <w:shd w:val="clear" w:color="auto" w:fill="auto"/>
            <w:vAlign w:val="top"/>
          </w:tcPr>
          <w:p>
            <w:pPr>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nil"/>
              <w:bottom w:val="single" w:color="auto" w:sz="4" w:space="0"/>
              <w:right w:val="single" w:color="auto" w:sz="4" w:space="0"/>
            </w:tcBorders>
            <w:shd w:val="clear" w:color="auto" w:fill="auto"/>
            <w:vAlign w:val="top"/>
          </w:tcPr>
          <w:p>
            <w:pPr/>
            <w:r>
              <w:rPr>
                <w:rFonts w:hint="eastAsia" w:ascii="宋体" w:hAnsi="宋体"/>
                <w:kern w:val="0"/>
                <w:sz w:val="18"/>
                <w:szCs w:val="18"/>
              </w:rPr>
              <w:t>A39</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男性保健</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预防医学</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top"/>
          </w:tcPr>
          <w:p>
            <w:pPr>
              <w:rPr>
                <w:rFonts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A40</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乳腺科</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top"/>
          </w:tcPr>
          <w:p>
            <w:pPr>
              <w:rPr>
                <w:rFonts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A41</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泌尿外科</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临床医学</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top"/>
          </w:tcPr>
          <w:p>
            <w:pPr>
              <w:rPr>
                <w:rFonts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A42</w:t>
            </w:r>
          </w:p>
        </w:tc>
      </w:tr>
      <w:tr>
        <w:tblPrEx>
          <w:tblLayout w:type="fixed"/>
          <w:tblCellMar>
            <w:top w:w="0" w:type="dxa"/>
            <w:left w:w="108" w:type="dxa"/>
            <w:bottom w:w="0" w:type="dxa"/>
            <w:right w:w="108" w:type="dxa"/>
          </w:tblCellMar>
        </w:tblPrEx>
        <w:trPr>
          <w:trHeight w:val="1140" w:hRule="atLeast"/>
        </w:trPr>
        <w:tc>
          <w:tcPr>
            <w:tcW w:w="632" w:type="dxa"/>
            <w:vMerge w:val="continue"/>
            <w:tcBorders>
              <w:left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药学</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药学</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A43</w:t>
            </w:r>
          </w:p>
        </w:tc>
      </w:tr>
      <w:tr>
        <w:tblPrEx>
          <w:tblLayout w:type="fixed"/>
          <w:tblCellMar>
            <w:top w:w="0" w:type="dxa"/>
            <w:left w:w="108" w:type="dxa"/>
            <w:bottom w:w="0" w:type="dxa"/>
            <w:right w:w="108" w:type="dxa"/>
          </w:tblCellMar>
        </w:tblPrEx>
        <w:trPr>
          <w:trHeight w:val="913" w:hRule="atLeast"/>
        </w:trPr>
        <w:tc>
          <w:tcPr>
            <w:tcW w:w="63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73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护理</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护理学</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9" w:type="dxa"/>
            <w:tcBorders>
              <w:top w:val="nil"/>
              <w:left w:val="nil"/>
              <w:bottom w:val="single" w:color="auto" w:sz="4" w:space="0"/>
              <w:right w:val="single" w:color="auto" w:sz="4" w:space="0"/>
            </w:tcBorders>
            <w:shd w:val="clear" w:color="auto" w:fill="auto"/>
            <w:vAlign w:val="top"/>
          </w:tcPr>
          <w:p>
            <w:pPr>
              <w:rPr>
                <w:rFonts w:ascii="宋体" w:hAnsi="宋体" w:cs="宋体"/>
                <w:kern w:val="0"/>
                <w:sz w:val="18"/>
                <w:szCs w:val="18"/>
              </w:rPr>
            </w:pPr>
            <w:r>
              <w:rPr>
                <w:rFonts w:hint="eastAsia" w:ascii="宋体" w:hAnsi="宋体" w:cs="宋体"/>
                <w:kern w:val="0"/>
                <w:sz w:val="18"/>
                <w:szCs w:val="18"/>
              </w:rPr>
              <w:t>√</w:t>
            </w:r>
          </w:p>
        </w:tc>
        <w:tc>
          <w:tcPr>
            <w:tcW w:w="439" w:type="dxa"/>
            <w:tcBorders>
              <w:top w:val="nil"/>
              <w:left w:val="nil"/>
              <w:bottom w:val="single" w:color="auto" w:sz="4" w:space="0"/>
              <w:right w:val="single" w:color="auto" w:sz="4" w:space="0"/>
            </w:tcBorders>
            <w:shd w:val="clear" w:color="auto" w:fill="auto"/>
            <w:vAlign w:val="top"/>
          </w:tcPr>
          <w:p>
            <w:pPr/>
            <w:r>
              <w:rPr>
                <w:rFonts w:hint="eastAsia" w:ascii="宋体" w:hAnsi="宋体"/>
                <w:kern w:val="0"/>
                <w:sz w:val="18"/>
                <w:szCs w:val="18"/>
              </w:rPr>
              <w:t>A44</w:t>
            </w:r>
          </w:p>
        </w:tc>
      </w:tr>
      <w:tr>
        <w:tblPrEx>
          <w:tblLayout w:type="fixed"/>
          <w:tblCellMar>
            <w:top w:w="0" w:type="dxa"/>
            <w:left w:w="108" w:type="dxa"/>
            <w:bottom w:w="0" w:type="dxa"/>
            <w:right w:w="108" w:type="dxa"/>
          </w:tblCellMar>
        </w:tblPrEx>
        <w:trPr>
          <w:trHeight w:val="2003" w:hRule="atLeast"/>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县皮防站1 名</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中医</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专技</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 w:val="18"/>
                <w:szCs w:val="18"/>
              </w:rPr>
            </w:pPr>
            <w:r>
              <w:rPr>
                <w:rFonts w:hint="eastAsia" w:ascii="宋体" w:hAnsi="宋体" w:cs="宋体"/>
                <w:kern w:val="0"/>
                <w:sz w:val="18"/>
                <w:szCs w:val="18"/>
              </w:rPr>
              <w:t>初级</w:t>
            </w:r>
          </w:p>
        </w:tc>
        <w:tc>
          <w:tcPr>
            <w:tcW w:w="199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中医学</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80" w:firstLineChars="100"/>
              <w:jc w:val="center"/>
              <w:rPr>
                <w:rFonts w:hint="eastAsia" w:ascii="宋体" w:hAnsi="宋体" w:cs="宋体"/>
                <w:kern w:val="0"/>
                <w:sz w:val="18"/>
                <w:szCs w:val="18"/>
              </w:rPr>
            </w:pPr>
          </w:p>
        </w:tc>
        <w:tc>
          <w:tcPr>
            <w:tcW w:w="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kern w:val="0"/>
                <w:sz w:val="18"/>
                <w:szCs w:val="18"/>
              </w:rPr>
            </w:pPr>
          </w:p>
          <w:p>
            <w:pPr/>
            <w:r>
              <w:rPr>
                <w:rFonts w:hint="eastAsia" w:ascii="宋体" w:hAnsi="宋体"/>
                <w:kern w:val="0"/>
                <w:sz w:val="18"/>
                <w:szCs w:val="18"/>
              </w:rPr>
              <w:t>A45</w:t>
            </w:r>
          </w:p>
        </w:tc>
      </w:tr>
      <w:tr>
        <w:tblPrEx>
          <w:tblLayout w:type="fixed"/>
          <w:tblCellMar>
            <w:top w:w="0" w:type="dxa"/>
            <w:left w:w="108" w:type="dxa"/>
            <w:bottom w:w="0" w:type="dxa"/>
            <w:right w:w="108" w:type="dxa"/>
          </w:tblCellMar>
        </w:tblPrEx>
        <w:trPr>
          <w:trHeight w:val="731" w:hRule="atLeast"/>
        </w:trPr>
        <w:tc>
          <w:tcPr>
            <w:tcW w:w="2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合  计</w:t>
            </w:r>
          </w:p>
        </w:tc>
        <w:tc>
          <w:tcPr>
            <w:tcW w:w="635"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cs="宋体"/>
                <w:kern w:val="0"/>
                <w:sz w:val="18"/>
                <w:szCs w:val="18"/>
              </w:rPr>
            </w:pPr>
            <w:r>
              <w:rPr>
                <w:rFonts w:hint="eastAsia" w:ascii="宋体" w:hAnsi="宋体" w:cs="宋体"/>
                <w:kern w:val="0"/>
                <w:sz w:val="18"/>
                <w:szCs w:val="18"/>
              </w:rPr>
              <w:t>68</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p>
        </w:tc>
        <w:tc>
          <w:tcPr>
            <w:tcW w:w="14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18"/>
                <w:szCs w:val="18"/>
              </w:rPr>
            </w:pPr>
            <w:r>
              <w:rPr>
                <w:rFonts w:hint="eastAsia" w:ascii="宋体" w:hAnsi="宋体" w:cs="宋体"/>
                <w:kern w:val="0"/>
                <w:sz w:val="18"/>
                <w:szCs w:val="18"/>
              </w:rPr>
              <w:t>—</w:t>
            </w:r>
          </w:p>
        </w:tc>
        <w:tc>
          <w:tcPr>
            <w:tcW w:w="319" w:type="dxa"/>
            <w:tcBorders>
              <w:top w:val="single" w:color="auto" w:sz="4" w:space="0"/>
              <w:left w:val="single" w:color="auto" w:sz="4" w:space="0"/>
              <w:bottom w:val="single" w:color="auto" w:sz="4" w:space="0"/>
              <w:right w:val="single" w:color="auto" w:sz="4" w:space="0"/>
            </w:tcBorders>
            <w:shd w:val="clear" w:color="auto" w:fill="auto"/>
            <w:vAlign w:val="center"/>
          </w:tcPr>
          <w:p>
            <w:pPr>
              <w:ind w:right="-107" w:rightChars="-51"/>
              <w:jc w:val="center"/>
              <w:rPr>
                <w:rFonts w:hint="eastAsia" w:ascii="宋体" w:hAnsi="宋体" w:cs="宋体"/>
                <w:kern w:val="0"/>
                <w:sz w:val="18"/>
                <w:szCs w:val="18"/>
              </w:rPr>
            </w:pPr>
            <w:r>
              <w:rPr>
                <w:rFonts w:hint="eastAsia" w:ascii="宋体" w:hAnsi="宋体" w:cs="宋体"/>
                <w:kern w:val="0"/>
                <w:sz w:val="18"/>
                <w:szCs w:val="18"/>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Cs w:val="21"/>
              </w:rPr>
            </w:pPr>
          </w:p>
        </w:tc>
      </w:tr>
    </w:tbl>
    <w:p>
      <w:pPr>
        <w:pStyle w:val="2"/>
        <w:spacing w:after="0" w:line="560" w:lineRule="exact"/>
        <w:ind w:left="0" w:leftChars="0"/>
        <w:rPr>
          <w:rFonts w:hint="eastAsia" w:ascii="黑体" w:eastAsia="黑体"/>
          <w:color w:val="000000"/>
          <w:sz w:val="30"/>
          <w:szCs w:val="30"/>
        </w:rPr>
      </w:pPr>
      <w:bookmarkStart w:id="0" w:name="_GoBack"/>
      <w:bookmarkEnd w:id="0"/>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6038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2016-05-11T02:29:21Z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